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5004C" w:rsidP="00F5004C">
      <w:pPr>
        <w:jc w:val="center"/>
      </w:pPr>
    </w:p>
    <w:p w:rsidR="00F5004C" w:rsidP="00F5004C">
      <w:pPr>
        <w:jc w:val="center"/>
      </w:pPr>
    </w:p>
    <w:p w:rsidR="00F5004C" w:rsidP="00F5004C">
      <w:pPr>
        <w:jc w:val="center"/>
      </w:pPr>
    </w:p>
    <w:p w:rsidR="00F5004C" w:rsidP="00F5004C">
      <w:pPr>
        <w:jc w:val="center"/>
      </w:pPr>
    </w:p>
    <w:p w:rsidR="00F5004C" w:rsidP="00F5004C">
      <w:pPr>
        <w:jc w:val="center"/>
      </w:pPr>
    </w:p>
    <w:p w:rsidR="00F5004C" w:rsidP="00F5004C">
      <w:pPr>
        <w:jc w:val="center"/>
      </w:pPr>
    </w:p>
    <w:p w:rsidR="00F5004C" w:rsidP="00F5004C">
      <w:pPr>
        <w:jc w:val="center"/>
      </w:pPr>
    </w:p>
    <w:p w:rsidR="00A126BD" w:rsidP="00F5004C">
      <w:pPr>
        <w:jc w:val="center"/>
      </w:pPr>
      <w:r>
        <w:t>Bob Case Study Response</w:t>
      </w:r>
    </w:p>
    <w:p w:rsidR="00C539D0" w:rsidP="00F5004C">
      <w:pPr>
        <w:jc w:val="center"/>
      </w:pPr>
      <w:r>
        <w:t>Name</w:t>
      </w:r>
    </w:p>
    <w:p w:rsidR="00C539D0" w:rsidP="00F5004C">
      <w:pPr>
        <w:jc w:val="center"/>
      </w:pPr>
      <w:r>
        <w:t>Institution of Affiliation</w:t>
      </w:r>
    </w:p>
    <w:p w:rsidR="00C539D0" w:rsidP="00F5004C">
      <w:pPr>
        <w:jc w:val="center"/>
      </w:pPr>
      <w:r>
        <w:t>Instructor’s name</w:t>
      </w:r>
    </w:p>
    <w:p w:rsidR="00C539D0" w:rsidP="00F5004C">
      <w:pPr>
        <w:jc w:val="center"/>
      </w:pPr>
      <w:r>
        <w:t>Date of submission</w:t>
      </w:r>
    </w:p>
    <w:p w:rsidR="00F5004C" w:rsidP="00C539D0"/>
    <w:p w:rsidR="00F5004C" w:rsidP="00C539D0"/>
    <w:p w:rsidR="00F5004C" w:rsidP="00C539D0"/>
    <w:p w:rsidR="00F5004C" w:rsidP="00C539D0"/>
    <w:p w:rsidR="00F5004C" w:rsidP="00C539D0"/>
    <w:p w:rsidR="00F5004C" w:rsidP="00C539D0"/>
    <w:p w:rsidR="00F5004C" w:rsidP="00C539D0"/>
    <w:p w:rsidR="00F5004C" w:rsidP="00C539D0"/>
    <w:p w:rsidR="00F5004C" w:rsidP="00C539D0"/>
    <w:p w:rsidR="00F5004C" w:rsidP="00C539D0"/>
    <w:p w:rsidR="00F5004C" w:rsidP="00C539D0"/>
    <w:p w:rsidR="00C539D0" w:rsidP="00F5004C">
      <w:pPr>
        <w:jc w:val="center"/>
      </w:pPr>
      <w:r>
        <w:t>Bob Case Study Response</w:t>
      </w:r>
    </w:p>
    <w:p w:rsidR="00C539D0" w:rsidRPr="00F5004C" w:rsidP="00F5004C">
      <w:pPr>
        <w:jc w:val="center"/>
        <w:rPr>
          <w:b/>
        </w:rPr>
      </w:pPr>
      <w:r w:rsidRPr="00F5004C">
        <w:rPr>
          <w:b/>
        </w:rPr>
        <w:t>1</w:t>
      </w:r>
    </w:p>
    <w:p w:rsidR="00C539D0" w:rsidP="00F5004C">
      <w:pPr>
        <w:ind w:firstLine="720"/>
      </w:pPr>
      <w:r>
        <w:t xml:space="preserve">The diagnosis of generalized anxiety disorder was made by the first counselor based on the patient's symptoms and the tool used to measure the level of anxiety. Bob presented to the counselor with complaints of insomnia, nervousness, anxiety, frustrations, and irritability. He also had anger outbursts episodes both at work and at home. Administration of </w:t>
      </w:r>
      <w:r w:rsidRPr="002E7289" w:rsidR="002E7289">
        <w:t>the Beck Anxiety Inventory</w:t>
      </w:r>
      <w:r w:rsidR="002E7289">
        <w:t xml:space="preserve"> was done, and a score of 21 obtained, which confirmed a moderate anxiety category. He also reported that one of his cousins had attempted suicide twice. </w:t>
      </w:r>
      <w:r w:rsidR="001F50C1">
        <w:t>There</w:t>
      </w:r>
      <w:r w:rsidR="002E7289">
        <w:t xml:space="preserve"> was also a history of divorce due to infidelity with his first wife shortly after marriage. Currently, he lives with his second wife, who they are not in good terms either. In addition, one of his </w:t>
      </w:r>
      <w:r w:rsidR="001F50C1">
        <w:t>children</w:t>
      </w:r>
      <w:r w:rsidR="002E7289">
        <w:t xml:space="preserve"> has ADHD and is on medication. </w:t>
      </w:r>
      <w:r w:rsidR="001F50C1">
        <w:t>All these do not show a specific cause of his anxiety; hence the diagnosis of a generalized anxiety disorder was made by the first PCP. 
</w:t>
      </w:r>
    </w:p>
    <w:p w:rsidR="00211E70" w:rsidP="00F5004C">
      <w:pPr>
        <w:ind w:firstLine="720"/>
      </w:pPr>
      <w:r>
        <w:t xml:space="preserve">In the treatment plan for patients within nonspecific anxiety disorder, apart from medication, psychotherapy and counseling play a vital role in the management of the patient. This explains why the counselor </w:t>
      </w:r>
      <w:r w:rsidR="00427760">
        <w:t xml:space="preserve">put Bob on </w:t>
      </w:r>
      <w:r w:rsidR="00427760">
        <w:t>Xa</w:t>
      </w:r>
      <w:r>
        <w:t>nax</w:t>
      </w:r>
      <w:r>
        <w:t xml:space="preserve"> as needed. This means that Bob should take the medication whenever necessary since there is no specific trigger for the anxiety</w:t>
      </w:r>
      <w:r w:rsidR="003F5A88">
        <w:t xml:space="preserve"> (</w:t>
      </w:r>
      <w:r w:rsidRPr="003F5A88" w:rsidR="003F5A88">
        <w:t>Ame</w:t>
      </w:r>
      <w:r w:rsidR="003F5A88">
        <w:t xml:space="preserve">rican Psychiatric Association, </w:t>
      </w:r>
      <w:r w:rsidRPr="003F5A88" w:rsidR="003F5A88">
        <w:t>2013)</w:t>
      </w:r>
      <w:r>
        <w:t xml:space="preserve">. He should, however, not take more than 30 tablets in a month. Also, the patient needs to be taught on how to manage anxiety, even without taking medication. A number of strategies </w:t>
      </w:r>
      <w:r>
        <w:t xml:space="preserve">for psychotherapy </w:t>
      </w:r>
      <w:r>
        <w:t>were employed since it is nonspecific</w:t>
      </w:r>
      <w:r>
        <w:t>. For example, deep breathe whenever anxiety comes is a strategy that was advised to control the episodes. Mindful techniques are also an essential strategy for generalized anxiety disorder management.
</w:t>
      </w:r>
    </w:p>
    <w:p w:rsidR="001F50C1" w:rsidRPr="00F5004C" w:rsidP="00F5004C">
      <w:pPr>
        <w:jc w:val="center"/>
        <w:rPr>
          <w:b/>
        </w:rPr>
      </w:pPr>
      <w:r w:rsidRPr="00F5004C">
        <w:rPr>
          <w:b/>
        </w:rPr>
        <w:t>2</w:t>
      </w:r>
    </w:p>
    <w:p w:rsidR="00C539D0" w:rsidP="00F5004C">
      <w:pPr>
        <w:ind w:firstLine="720"/>
      </w:pPr>
      <w:r>
        <w:t xml:space="preserve">Bob's mediocre response to the recommended interventions maybe </w:t>
      </w:r>
      <w:r>
        <w:t xml:space="preserve">is due to the lack of information on mental health. For example, he could not understand why his medication for the month was restricted. He expected that he would be given enough medication to take whenever he gets an episode of anxiety. He did not understand why he was to take a total of just thirty tablets for the entire month, yet the medication was readily available for him. The PCP could not have risked giving him more medication due to overdose and also not to go beyond maximum dose for a certain period of time and this case one month. He was also needed to practice some anger management techniques that sounded very obvious to him. </w:t>
      </w:r>
      <w:r w:rsidR="00F54F19">
        <w:t xml:space="preserve">He thought that being the counselor being a mental specialist would suggest other sophisticated </w:t>
      </w:r>
      <w:r w:rsidR="00D034DF">
        <w:t>methods. Besides, he expected that the treatment plan would solve his problem immediately, which was not the case, and this, too, contributed to his mediocre response.
</w:t>
      </w:r>
    </w:p>
    <w:p w:rsidR="00427760" w:rsidP="00F5004C">
      <w:pPr>
        <w:ind w:firstLine="720"/>
      </w:pPr>
      <w:r>
        <w:t>In the next session, the counselor needs to provide information regarding the reasons why he would be a particular treatment plan. This would help him to understand the various therapies and even promote his compliance</w:t>
      </w:r>
      <w:r w:rsidR="003F5A88">
        <w:t xml:space="preserve"> (First, </w:t>
      </w:r>
      <w:r w:rsidRPr="00E30FF9" w:rsidR="003F5A88">
        <w:t>2014)</w:t>
      </w:r>
      <w:r>
        <w:t>. For example, information concern</w:t>
      </w:r>
      <w:r>
        <w:t xml:space="preserve">ing the maximum dose for the </w:t>
      </w:r>
      <w:r>
        <w:t>Xa</w:t>
      </w:r>
      <w:r>
        <w:t>nax</w:t>
      </w:r>
      <w:r>
        <w:t xml:space="preserve"> medication is essential, and the adverse reaction in case of overdose. In addition, the period that he needs to wait before he can fully feel the impact of the management plan should be provided so that he understands the importance of coming to sessions. </w:t>
      </w:r>
      <w:r w:rsidR="00F5004C">
        <w:t>Additionally</w:t>
      </w:r>
      <w:r w:rsidR="00F404C0">
        <w:t>, the counselor needs to share with Bob the importance of having more than one treatment strategy for compliance purposes.
</w:t>
      </w:r>
    </w:p>
    <w:p w:rsidR="00F404C0" w:rsidRPr="00F5004C" w:rsidP="00F5004C">
      <w:pPr>
        <w:jc w:val="center"/>
        <w:rPr>
          <w:b/>
        </w:rPr>
      </w:pPr>
      <w:r w:rsidRPr="00F5004C">
        <w:rPr>
          <w:b/>
        </w:rPr>
        <w:t>3</w:t>
      </w:r>
    </w:p>
    <w:p w:rsidR="00427760" w:rsidP="00F5004C">
      <w:pPr>
        <w:ind w:firstLine="720"/>
      </w:pPr>
      <w:r>
        <w:t>Xanax</w:t>
      </w:r>
      <w:r>
        <w:t xml:space="preserve"> is a trading name for a</w:t>
      </w:r>
      <w:r w:rsidRPr="00427760">
        <w:t>lprazolam</w:t>
      </w:r>
      <w:r>
        <w:t>, which belongs to the class of benzodiazepines. 
</w:t>
      </w:r>
    </w:p>
    <w:p w:rsidR="00427760" w:rsidP="003F5A88">
      <w:r>
        <w:t>This class of medication has the advantage of being used to treat almost all forms of anxiety disorder, hence the use in managing Bob's generalized anxiety disorder</w:t>
      </w:r>
      <w:r w:rsidR="003F5A88">
        <w:t xml:space="preserve"> (</w:t>
      </w:r>
      <w:r w:rsidR="003F5A88">
        <w:t>Semple</w:t>
      </w:r>
      <w:r w:rsidR="003F5A88">
        <w:t xml:space="preserve"> </w:t>
      </w:r>
      <w:r w:rsidRPr="00E30FF9" w:rsidR="003F5A88">
        <w:t>&amp;</w:t>
      </w:r>
      <w:r w:rsidR="003F5A88">
        <w:t xml:space="preserve"> Smyth, </w:t>
      </w:r>
      <w:r w:rsidRPr="00E30FF9" w:rsidR="003F5A88">
        <w:t>2019)</w:t>
      </w:r>
      <w:r>
        <w:t xml:space="preserve">. </w:t>
      </w:r>
      <w:r>
        <w:t xml:space="preserve">In addition, the medication comes in many formulations, including immediate and extended-release. The class can, therefore, be used for short and long term management of anxiety disorder. The medication has detrimental or side effects on the patient, which includes lightheadedness, drowsiness, </w:t>
      </w:r>
      <w:r>
        <w:t>hypersalivation</w:t>
      </w:r>
      <w:r w:rsidR="006F46F2">
        <w:t>, and</w:t>
      </w:r>
      <w:r>
        <w:t xml:space="preserve"> change in sex drive</w:t>
      </w:r>
      <w:r w:rsidR="003F5A88">
        <w:t xml:space="preserve"> (</w:t>
      </w:r>
      <w:r w:rsidRPr="003F5A88" w:rsidR="003F5A88">
        <w:t>Ame</w:t>
      </w:r>
      <w:r w:rsidR="003F5A88">
        <w:t xml:space="preserve">rican Psychiatric Association, </w:t>
      </w:r>
      <w:r w:rsidRPr="003F5A88" w:rsidR="003F5A88">
        <w:t>2013)</w:t>
      </w:r>
      <w:r>
        <w:t>. This may</w:t>
      </w:r>
      <w:r w:rsidR="006F46F2">
        <w:t xml:space="preserve"> </w:t>
      </w:r>
      <w:r>
        <w:t xml:space="preserve">be the reason as to why the wife to Bob complained of sexual deprivation. Also, the patient may experience hallucinations, suicidal thoughts, slurred speech, and poor coordination, including memory difficulties. </w:t>
      </w:r>
      <w:r w:rsidR="006F46F2">
        <w:t xml:space="preserve"> The patient may develop jaundice and even an allergic reaction. It is, therefore, imperative to educate the patient about the side effects and when to visit the physician. 
</w:t>
      </w:r>
    </w:p>
    <w:tbl>
      <w:tblPr>
        <w:tblStyle w:val="TableGrid"/>
        <w:tblW w:w="0" w:type="auto"/>
        <w:tblLook w:val="04A0"/>
      </w:tblPr>
      <w:tblGrid>
        <w:gridCol w:w="4788"/>
        <w:gridCol w:w="4788"/>
      </w:tblGrid>
      <w:tr w:rsidTr="006F46F2">
        <w:tblPrEx>
          <w:tblW w:w="0" w:type="auto"/>
          <w:tblLook w:val="04A0"/>
        </w:tblPrEx>
        <w:tc>
          <w:tcPr>
            <w:tcW w:w="4788" w:type="dxa"/>
          </w:tcPr>
          <w:p w:rsidR="006F46F2" w:rsidP="00F5004C">
            <w:pPr>
              <w:spacing w:line="480" w:lineRule="auto"/>
            </w:pPr>
            <w:r>
              <w:t xml:space="preserve">Pharmacodynamics </w:t>
            </w:r>
          </w:p>
        </w:tc>
        <w:tc>
          <w:tcPr>
            <w:tcW w:w="4788" w:type="dxa"/>
          </w:tcPr>
          <w:p w:rsidR="006F46F2" w:rsidP="00F5004C">
            <w:pPr>
              <w:spacing w:line="480" w:lineRule="auto"/>
            </w:pPr>
            <w:r>
              <w:t xml:space="preserve">Pharmacokinetics </w:t>
            </w:r>
          </w:p>
        </w:tc>
      </w:tr>
      <w:tr w:rsidTr="006F46F2">
        <w:tblPrEx>
          <w:tblW w:w="0" w:type="auto"/>
          <w:tblLook w:val="04A0"/>
        </w:tblPrEx>
        <w:tc>
          <w:tcPr>
            <w:tcW w:w="4788" w:type="dxa"/>
          </w:tcPr>
          <w:p w:rsidR="00F5004C" w:rsidP="00F5004C">
            <w:pPr>
              <w:spacing w:line="480" w:lineRule="auto"/>
            </w:pPr>
            <w:r w:rsidRPr="006F46F2">
              <w:t>Binds receptors at</w:t>
            </w:r>
            <w:r>
              <w:t xml:space="preserve"> several sites within the CNS, </w:t>
            </w:r>
          </w:p>
          <w:p w:rsidR="002A3180" w:rsidP="00F5004C">
            <w:pPr>
              <w:spacing w:line="480" w:lineRule="auto"/>
            </w:pPr>
            <w:r>
              <w:t>It i</w:t>
            </w:r>
            <w:r w:rsidRPr="006F46F2" w:rsidR="006F46F2">
              <w:t xml:space="preserve">ncluding the limbic system and reticular formation; </w:t>
            </w:r>
          </w:p>
          <w:p w:rsidR="002A3180" w:rsidP="00F5004C">
            <w:pPr>
              <w:spacing w:line="480" w:lineRule="auto"/>
            </w:pPr>
            <w:r>
              <w:t xml:space="preserve">Its effects are </w:t>
            </w:r>
            <w:r w:rsidRPr="006F46F2" w:rsidR="006F46F2">
              <w:t xml:space="preserve">mediated through GABA receptor system; </w:t>
            </w:r>
          </w:p>
          <w:p w:rsidR="006F46F2" w:rsidP="00F5004C">
            <w:pPr>
              <w:spacing w:line="480" w:lineRule="auto"/>
            </w:pPr>
            <w:r>
              <w:t xml:space="preserve">This usually is through an </w:t>
            </w:r>
            <w:r w:rsidRPr="006F46F2">
              <w:t>increase in neuronal membrane permeability to chloride ions enhances the inhibitory effects of GABA;</w:t>
            </w:r>
            <w:r w:rsidR="00F5004C">
              <w:t xml:space="preserve"> T</w:t>
            </w:r>
            <w:r w:rsidRPr="006F46F2">
              <w:t xml:space="preserve">he shift in chloride ions </w:t>
            </w:r>
            <w:r w:rsidRPr="006F46F2">
              <w:t>causes</w:t>
            </w:r>
            <w:r w:rsidRPr="006F46F2">
              <w:t xml:space="preserve"> hyperpolarization (less excitability) and stabilization of the neuronal membrane</w:t>
            </w:r>
            <w:r w:rsidR="003F5A88">
              <w:t xml:space="preserve"> </w:t>
            </w:r>
            <w:r w:rsidR="003F5A88">
              <w:t>(</w:t>
            </w:r>
            <w:r w:rsidRPr="003F5A88" w:rsidR="003F5A88">
              <w:t>Ame</w:t>
            </w:r>
            <w:r w:rsidR="003F5A88">
              <w:t xml:space="preserve">rican Psychiatric Association, </w:t>
            </w:r>
            <w:r w:rsidRPr="003F5A88" w:rsidR="003F5A88">
              <w:t>2013)</w:t>
            </w:r>
            <w:r>
              <w:t xml:space="preserve">. </w:t>
            </w:r>
          </w:p>
        </w:tc>
        <w:tc>
          <w:tcPr>
            <w:tcW w:w="4788" w:type="dxa"/>
          </w:tcPr>
          <w:p w:rsidR="006F46F2" w:rsidP="00F5004C">
            <w:pPr>
              <w:spacing w:line="480" w:lineRule="auto"/>
            </w:pPr>
            <w:r>
              <w:t>Readily absorbed through the intestinal walls</w:t>
            </w:r>
          </w:p>
          <w:p w:rsidR="006F46F2" w:rsidP="00F5004C">
            <w:pPr>
              <w:spacing w:line="480" w:lineRule="auto"/>
            </w:pPr>
            <w:r>
              <w:t xml:space="preserve">Has a plasma peak concentration of about 1-2 hours following administration </w:t>
            </w:r>
          </w:p>
          <w:p w:rsidR="006F46F2" w:rsidP="00F5004C">
            <w:pPr>
              <w:spacing w:line="480" w:lineRule="auto"/>
            </w:pPr>
            <w:r>
              <w:t>80% is bound by the serum plasma leaving 20% free for interaction with the receptors</w:t>
            </w:r>
          </w:p>
          <w:p w:rsidR="002A3180" w:rsidP="00F5004C">
            <w:pPr>
              <w:spacing w:line="480" w:lineRule="auto"/>
            </w:pPr>
            <w:r>
              <w:t>It is metabolized i</w:t>
            </w:r>
            <w:r>
              <w:t xml:space="preserve">n the liver by cytochrome p450 and 3A4 into </w:t>
            </w:r>
            <w:r w:rsidRPr="002A3180">
              <w:t>4-hydroxyalprazolam and α-</w:t>
            </w:r>
            <w:r w:rsidRPr="002A3180">
              <w:t>hydroxyalprazolam</w:t>
            </w:r>
            <w:r>
              <w:t>, which are inactive but water-soluble.
</w:t>
            </w:r>
          </w:p>
          <w:p w:rsidR="002A3180" w:rsidP="00F5004C">
            <w:pPr>
              <w:spacing w:line="480" w:lineRule="auto"/>
            </w:pPr>
            <w:r>
              <w:t xml:space="preserve">The drug is excreted mainly through the urine. </w:t>
            </w:r>
          </w:p>
        </w:tc>
      </w:tr>
    </w:tbl>
    <w:p w:rsidR="006F46F2"/>
    <w:p w:rsidR="002A3180" w:rsidRPr="0090410F" w:rsidP="003F5A88">
      <w:pPr>
        <w:jc w:val="center"/>
        <w:rPr>
          <w:b/>
        </w:rPr>
      </w:pPr>
      <w:r w:rsidRPr="0090410F">
        <w:rPr>
          <w:b/>
        </w:rPr>
        <w:t>4</w:t>
      </w:r>
    </w:p>
    <w:p w:rsidR="00F5004C" w:rsidP="003F5A88">
      <w:pPr>
        <w:ind w:firstLine="720"/>
      </w:pPr>
      <w:r>
        <w:t>Ethical considerations should always be considered when prescribing medication to a patient. This is to the benefit of the client and fulfillment of the law requirements in prescribing. In this case study, Bob was supposed to be informed about the medication he will be given. The prescribing physician should have told him the name of the drug and the class it is and what its function is before prescribing</w:t>
      </w:r>
      <w:r w:rsidR="003F5A88">
        <w:t xml:space="preserve"> (</w:t>
      </w:r>
      <w:r w:rsidRPr="003F5A88" w:rsidR="003F5A88">
        <w:t>World Health O</w:t>
      </w:r>
      <w:r w:rsidR="003F5A88">
        <w:t xml:space="preserve">rganization, </w:t>
      </w:r>
      <w:r w:rsidRPr="003F5A88" w:rsidR="003F5A88">
        <w:t>2004)</w:t>
      </w:r>
      <w:r>
        <w:t xml:space="preserve">. In addition, Bob should have been informed how the medication works, benefits, and the side effects to be on the lookout when taking the drug. Additionally, the prescribing doctor should have given the patient </w:t>
      </w:r>
      <w:r w:rsidR="00FA5A1C">
        <w:t xml:space="preserve">information concerning when the results of the remedy would be experienced to avoid </w:t>
      </w:r>
      <w:r w:rsidR="00FA5A1C">
        <w:t>creating</w:t>
      </w:r>
      <w:r w:rsidR="00FA5A1C">
        <w:t xml:space="preserve"> anxiety on him. </w:t>
      </w:r>
    </w:p>
    <w:p w:rsidR="009E3A61" w:rsidP="003F5A88">
      <w:pPr>
        <w:ind w:firstLine="720"/>
      </w:pPr>
      <w:r>
        <w:t>Advisability on the consultation with the original prescribing physician should aim at knowing why the medication was chosen. The physician must disclose if proper counseling was done before commencement of the drug to manage Bob's condition as diagnosed at that particular time. The reason as to why the physician settled on that specific medication should be established</w:t>
      </w:r>
      <w:r w:rsidR="003F5A88">
        <w:t xml:space="preserve"> (</w:t>
      </w:r>
      <w:r w:rsidR="003F5A88">
        <w:t>Semple</w:t>
      </w:r>
      <w:r w:rsidR="003F5A88">
        <w:t xml:space="preserve"> </w:t>
      </w:r>
      <w:r w:rsidRPr="00E30FF9" w:rsidR="003F5A88">
        <w:t>&amp;</w:t>
      </w:r>
      <w:r w:rsidR="003F5A88">
        <w:t xml:space="preserve"> Smyth, </w:t>
      </w:r>
      <w:r w:rsidRPr="00E30FF9" w:rsidR="003F5A88">
        <w:t>2019)</w:t>
      </w:r>
      <w:r>
        <w:t xml:space="preserve">. Comorbidities that may have warranted choosing that particular drug needs to be established, too, so that there is a clear continuation of the treatment. The physician should also disclose whether there </w:t>
      </w:r>
      <w:r w:rsidR="005439AB">
        <w:t xml:space="preserve">were any side </w:t>
      </w:r>
      <w:r w:rsidR="005439AB">
        <w:t>effects</w:t>
      </w:r>
      <w:r>
        <w:t xml:space="preserve"> experienced by the patient after beginning taking the medication.</w:t>
      </w:r>
    </w:p>
    <w:p w:rsidR="000C5193" w:rsidP="003F5A88">
      <w:pPr>
        <w:ind w:firstLine="720"/>
      </w:pPr>
      <w:r>
        <w:t xml:space="preserve">The concerns that should be taken into consideration apart from the side effects include drug compliance by the patient. This should be established by the patient response expectation period. </w:t>
      </w:r>
      <w:r w:rsidR="005439AB">
        <w:t xml:space="preserve">Moreover, the concern of having other conditions that would warrant </w:t>
      </w:r>
      <w:r w:rsidR="005439AB">
        <w:t>polypharmacy</w:t>
      </w:r>
      <w:r w:rsidR="005439AB">
        <w:t xml:space="preserve"> and drug interactions needs to come out clearly so that medication dose given is effective for the </w:t>
      </w:r>
      <w:r w:rsidR="005439AB">
        <w:t xml:space="preserve">patient. </w:t>
      </w:r>
      <w:r w:rsidR="0090410F">
        <w:t>Also, the doctor should clarify if there was an education to the patient about medication interaction with foods and drinks and what should not be taken when on the medication. 
</w:t>
      </w:r>
    </w:p>
    <w:p w:rsidR="0090410F" w:rsidRPr="003F5A88" w:rsidP="003F5A88">
      <w:pPr>
        <w:jc w:val="center"/>
        <w:rPr>
          <w:b/>
        </w:rPr>
      </w:pPr>
      <w:r w:rsidRPr="003F5A88">
        <w:rPr>
          <w:b/>
        </w:rPr>
        <w:t>5</w:t>
      </w:r>
    </w:p>
    <w:p w:rsidR="0090410F" w:rsidP="003F5A88">
      <w:pPr>
        <w:ind w:firstLine="720"/>
      </w:pPr>
      <w:r>
        <w:t>The wife of Bob provided invaluable information concerning the patient's condition. This information could point to another differential diagnosis. Anna provided information that described Bob to be exhibiting signs and symptoms of depression.</w:t>
      </w:r>
    </w:p>
    <w:p w:rsidR="0090410F" w:rsidP="003F5A88">
      <w:pPr>
        <w:ind w:firstLine="720"/>
      </w:pPr>
      <w:r>
        <w:t>To begin with, she reported that Bob had episodes withdrawals and crying alone in case of an argument</w:t>
      </w:r>
      <w:r w:rsidR="003F5A88">
        <w:t xml:space="preserve"> (</w:t>
      </w:r>
      <w:r w:rsidRPr="003F5A88" w:rsidR="003F5A88">
        <w:t>World Health O</w:t>
      </w:r>
      <w:r w:rsidR="003F5A88">
        <w:t xml:space="preserve">rganization, </w:t>
      </w:r>
      <w:r w:rsidRPr="003F5A88" w:rsidR="003F5A88">
        <w:t>2004)</w:t>
      </w:r>
      <w:r>
        <w:t xml:space="preserve">. </w:t>
      </w:r>
      <w:r w:rsidR="00A50624">
        <w:t xml:space="preserve">She also stated that Bob's mother had depression, and he had a cousin who attempted suicide twice. This information was new to the attending doctor. With the newly added information, a diagnosis of significant depressive disorder condition based on the signs and symptoms exhibited and reported by the wife. Based on this </w:t>
      </w:r>
      <w:r w:rsidR="00E30FF9">
        <w:t xml:space="preserve">consideration, </w:t>
      </w:r>
      <w:r w:rsidRPr="00E30FF9" w:rsidR="00E30FF9">
        <w:t>Primary Care Evaluation of Mental Disorders (PRIME-MD)</w:t>
      </w:r>
      <w:r w:rsidR="00E30FF9">
        <w:t xml:space="preserve"> and t</w:t>
      </w:r>
      <w:r w:rsidRPr="00E30FF9" w:rsidR="00E30FF9">
        <w:t>he Hospital Anxiety and Depression scale </w:t>
      </w:r>
      <w:r w:rsidR="00E30FF9">
        <w:t>can be utilized to make a diagnosis of depressive disorder</w:t>
      </w:r>
      <w:r w:rsidR="003F5A88">
        <w:t xml:space="preserve"> </w:t>
      </w:r>
      <w:r w:rsidR="003F5A88">
        <w:t>(</w:t>
      </w:r>
      <w:r w:rsidRPr="003F5A88" w:rsidR="003F5A88">
        <w:t>Ame</w:t>
      </w:r>
      <w:r w:rsidR="003F5A88">
        <w:t xml:space="preserve">rican Psychiatric Association, </w:t>
      </w:r>
      <w:r w:rsidRPr="003F5A88" w:rsidR="003F5A88">
        <w:t>2013)</w:t>
      </w:r>
      <w:r w:rsidR="00E30FF9">
        <w:t xml:space="preserve">. The use of antidepressants should be considered after making the diagnosis. Cognitive behavioral theory and family theory should be instituted since the patient requires knowing himself and family support is required for him to recover.  The initial treatment plan should be continued for additive purpose. </w:t>
      </w:r>
    </w:p>
    <w:p w:rsidR="003F5A88"/>
    <w:p w:rsidR="003F5A88"/>
    <w:p w:rsidR="003F5A88"/>
    <w:p w:rsidR="003F5A88"/>
    <w:p w:rsidR="003F5A88"/>
    <w:p w:rsidR="003F5A88"/>
    <w:p w:rsidR="00E30FF9" w:rsidP="003F5A88">
      <w:pPr>
        <w:jc w:val="center"/>
      </w:pPr>
      <w:r>
        <w:t>References</w:t>
      </w:r>
    </w:p>
    <w:p w:rsidR="003F5A88" w:rsidP="003F5A88">
      <w:pPr>
        <w:ind w:left="720" w:hanging="720"/>
      </w:pPr>
      <w:r w:rsidRPr="003F5A88">
        <w:t>American Psychiatric Association.</w:t>
      </w:r>
      <w:r w:rsidRPr="003F5A88">
        <w:t xml:space="preserve"> </w:t>
      </w:r>
      <w:r w:rsidRPr="003F5A88">
        <w:t>(2013). </w:t>
      </w:r>
      <w:r w:rsidRPr="003F5A88">
        <w:rPr>
          <w:i/>
          <w:iCs/>
        </w:rPr>
        <w:t>Diagnostic and statistical manual of mental disorders (DSM-5®)</w:t>
      </w:r>
      <w:r w:rsidRPr="003F5A88">
        <w:t>.</w:t>
      </w:r>
      <w:r w:rsidRPr="003F5A88">
        <w:t xml:space="preserve"> </w:t>
      </w:r>
      <w:r w:rsidRPr="003F5A88">
        <w:t>American Psychiatric Pub.</w:t>
      </w:r>
    </w:p>
    <w:p w:rsidR="003F5A88" w:rsidP="003F5A88">
      <w:pPr>
        <w:ind w:left="720" w:hanging="720"/>
      </w:pPr>
      <w:r w:rsidRPr="00E30FF9">
        <w:t>First, M. B. (2014).</w:t>
      </w:r>
      <w:r w:rsidRPr="00E30FF9">
        <w:t xml:space="preserve"> </w:t>
      </w:r>
      <w:r w:rsidRPr="00E30FF9">
        <w:t>Structured clinical interview for the DSM (SCID).</w:t>
      </w:r>
      <w:r w:rsidRPr="00E30FF9">
        <w:t> </w:t>
      </w:r>
      <w:r w:rsidRPr="00E30FF9">
        <w:rPr>
          <w:i/>
          <w:iCs/>
        </w:rPr>
        <w:t>The encyclopedia of clinical psychology</w:t>
      </w:r>
      <w:r w:rsidRPr="00E30FF9">
        <w:t>, 1-6.</w:t>
      </w:r>
      <w:bookmarkStart w:id="0" w:name="_GoBack"/>
      <w:bookmarkEnd w:id="0"/>
    </w:p>
    <w:p w:rsidR="003F5A88" w:rsidP="003F5A88">
      <w:pPr>
        <w:ind w:left="720" w:hanging="720"/>
      </w:pPr>
      <w:r w:rsidRPr="00E30FF9">
        <w:t>Semple</w:t>
      </w:r>
      <w:r w:rsidRPr="00E30FF9">
        <w:t>, D., &amp; Smyth, R. (2019).</w:t>
      </w:r>
      <w:r w:rsidRPr="00E30FF9">
        <w:t xml:space="preserve"> </w:t>
      </w:r>
      <w:r w:rsidRPr="00E30FF9">
        <w:t>Oxford handbook of psychiatry.</w:t>
      </w:r>
      <w:r w:rsidRPr="00E30FF9">
        <w:t xml:space="preserve"> </w:t>
      </w:r>
      <w:r w:rsidRPr="00E30FF9">
        <w:t>Oxford university press.</w:t>
      </w:r>
    </w:p>
    <w:p w:rsidR="003F5A88" w:rsidP="003F5A88">
      <w:pPr>
        <w:ind w:left="720" w:hanging="720"/>
      </w:pPr>
      <w:r w:rsidRPr="003F5A88">
        <w:t>World Health Organization.</w:t>
      </w:r>
      <w:r w:rsidRPr="003F5A88">
        <w:t xml:space="preserve"> (2004). ICD-10: international statistical classification of diseases and related health problems: tenth revision.</w:t>
      </w:r>
    </w:p>
    <w:p w:rsidR="0090410F"/>
    <w:p w:rsidR="00F404C0"/>
    <w:p w:rsidR="00D034DF"/>
    <w:p w:rsidR="00D034DF"/>
    <w:p w:rsidR="00C539D0"/>
    <w:sectPr w:rsidSect="00F500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04C" w:rsidP="00F5004C">
    <w:pPr>
      <w:pStyle w:val="Header"/>
    </w:pPr>
    <w:r>
      <w:t>BOB CASE STUDY RESPONSE</w:t>
    </w:r>
    <w:r>
      <w:t xml:space="preserve">                            </w:t>
    </w:r>
    <w:sdt>
      <w:sdtPr>
        <w:id w:val="-19646593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F5A88">
          <w:rPr>
            <w:noProof/>
          </w:rPr>
          <w:t>7</w:t>
        </w:r>
        <w:r>
          <w:rPr>
            <w:noProof/>
          </w:rPr>
          <w:fldChar w:fldCharType="end"/>
        </w:r>
      </w:sdtContent>
    </w:sdt>
  </w:p>
  <w:p w:rsidR="00F50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04C">
    <w:pPr>
      <w:pStyle w:val="Header"/>
      <w:jc w:val="right"/>
    </w:pPr>
    <w:r>
      <w:t xml:space="preserve">Running head: BOB CASE STUDY RESPONSE                                                                         </w:t>
    </w:r>
    <w:sdt>
      <w:sdtPr>
        <w:id w:val="1943261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A88">
          <w:rPr>
            <w:noProof/>
          </w:rPr>
          <w:t>1</w:t>
        </w:r>
        <w:r>
          <w:rPr>
            <w:noProof/>
          </w:rPr>
          <w:fldChar w:fldCharType="end"/>
        </w:r>
      </w:sdtContent>
    </w:sdt>
  </w:p>
  <w:p w:rsidR="00F500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9D0"/>
    <w:rsid w:val="00095102"/>
    <w:rsid w:val="000C5193"/>
    <w:rsid w:val="001F50C1"/>
    <w:rsid w:val="00211E70"/>
    <w:rsid w:val="002A3180"/>
    <w:rsid w:val="002E7289"/>
    <w:rsid w:val="003B3021"/>
    <w:rsid w:val="003F5A88"/>
    <w:rsid w:val="00427760"/>
    <w:rsid w:val="004B64EE"/>
    <w:rsid w:val="005439AB"/>
    <w:rsid w:val="006F46F2"/>
    <w:rsid w:val="006F548D"/>
    <w:rsid w:val="0090410F"/>
    <w:rsid w:val="009E3A61"/>
    <w:rsid w:val="00A126BD"/>
    <w:rsid w:val="00A40DF3"/>
    <w:rsid w:val="00A50624"/>
    <w:rsid w:val="00AE5A50"/>
    <w:rsid w:val="00BB253F"/>
    <w:rsid w:val="00C539D0"/>
    <w:rsid w:val="00D034DF"/>
    <w:rsid w:val="00E30FF9"/>
    <w:rsid w:val="00F404C0"/>
    <w:rsid w:val="00F5004C"/>
    <w:rsid w:val="00F54F19"/>
    <w:rsid w:val="00FA5A1C"/>
    <w:rsid w:val="00FC4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46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004C"/>
    <w:pPr>
      <w:tabs>
        <w:tab w:val="center" w:pos="4680"/>
        <w:tab w:val="right" w:pos="9360"/>
      </w:tabs>
      <w:spacing w:line="240" w:lineRule="auto"/>
    </w:pPr>
  </w:style>
  <w:style w:type="character" w:customStyle="1" w:styleId="HeaderChar">
    <w:name w:val="Header Char"/>
    <w:basedOn w:val="DefaultParagraphFont"/>
    <w:link w:val="Header"/>
    <w:uiPriority w:val="99"/>
    <w:rsid w:val="00F5004C"/>
  </w:style>
  <w:style w:type="paragraph" w:styleId="Footer">
    <w:name w:val="footer"/>
    <w:basedOn w:val="Normal"/>
    <w:link w:val="FooterChar"/>
    <w:uiPriority w:val="99"/>
    <w:unhideWhenUsed/>
    <w:rsid w:val="00F5004C"/>
    <w:pPr>
      <w:tabs>
        <w:tab w:val="center" w:pos="4680"/>
        <w:tab w:val="right" w:pos="9360"/>
      </w:tabs>
      <w:spacing w:line="240" w:lineRule="auto"/>
    </w:pPr>
  </w:style>
  <w:style w:type="character" w:customStyle="1" w:styleId="FooterChar">
    <w:name w:val="Footer Char"/>
    <w:basedOn w:val="DefaultParagraphFont"/>
    <w:link w:val="Footer"/>
    <w:uiPriority w:val="99"/>
    <w:rsid w:val="00F50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7</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2020-01-29T00:35:00Z</dcterms:created>
  <dcterms:modified xsi:type="dcterms:W3CDTF">2020-01-29T07:34:00Z</dcterms:modified>
</cp:coreProperties>
</file>